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A0" w:rsidRDefault="00472F39">
      <w:bookmarkStart w:id="0" w:name="_GoBack"/>
      <w:bookmarkEnd w:id="0"/>
      <w:r>
        <w:t>Doc. JUDr. Milan Ďurica, PhD., Katedra obchodného a hospodárskeho práva Právnickej fakulty UMB</w:t>
      </w:r>
    </w:p>
    <w:p w:rsidR="00472F39" w:rsidRDefault="00472F39"/>
    <w:p w:rsidR="004A1701" w:rsidRDefault="004A1701"/>
    <w:p w:rsidR="004A1701" w:rsidRDefault="004A1701" w:rsidP="004A1701">
      <w:pPr>
        <w:jc w:val="both"/>
      </w:pPr>
    </w:p>
    <w:p w:rsidR="004A1701" w:rsidRDefault="004A1701" w:rsidP="004A1701">
      <w:pPr>
        <w:jc w:val="both"/>
      </w:pPr>
      <w:r>
        <w:t xml:space="preserve">            Na základe rozhodnutia dekana Právnickej fakulty UMB č. 618-2018-PrF-SD z 18. júna 2018 predkladám </w:t>
      </w:r>
    </w:p>
    <w:p w:rsidR="00472F39" w:rsidRDefault="00472F39" w:rsidP="00472F39">
      <w:pPr>
        <w:jc w:val="center"/>
      </w:pPr>
    </w:p>
    <w:p w:rsidR="00472F39" w:rsidRPr="0061643F" w:rsidRDefault="00472F39" w:rsidP="00472F39">
      <w:pPr>
        <w:jc w:val="center"/>
        <w:rPr>
          <w:b/>
        </w:rPr>
      </w:pPr>
      <w:r w:rsidRPr="0061643F">
        <w:rPr>
          <w:b/>
        </w:rPr>
        <w:t>Oponentský posudok</w:t>
      </w:r>
    </w:p>
    <w:p w:rsidR="00472F39" w:rsidRPr="0061643F" w:rsidRDefault="00472F39" w:rsidP="00472F39">
      <w:pPr>
        <w:jc w:val="center"/>
        <w:rPr>
          <w:b/>
        </w:rPr>
      </w:pPr>
    </w:p>
    <w:p w:rsidR="00472F39" w:rsidRPr="0061643F" w:rsidRDefault="00472F39" w:rsidP="00472F39">
      <w:pPr>
        <w:jc w:val="center"/>
        <w:rPr>
          <w:b/>
          <w:i/>
        </w:rPr>
      </w:pPr>
      <w:r w:rsidRPr="0061643F">
        <w:rPr>
          <w:b/>
          <w:i/>
        </w:rPr>
        <w:t>Právne a ekonomické aspekty spoločnosti v kríze</w:t>
      </w:r>
    </w:p>
    <w:p w:rsidR="00472F39" w:rsidRPr="0061643F" w:rsidRDefault="00472F39" w:rsidP="00472F39">
      <w:pPr>
        <w:jc w:val="center"/>
        <w:rPr>
          <w:b/>
          <w:i/>
        </w:rPr>
      </w:pPr>
      <w:r w:rsidRPr="0061643F">
        <w:rPr>
          <w:b/>
          <w:i/>
        </w:rPr>
        <w:t>(Habilitačná práca- JUDr. Martin Kubinec, PhD.)</w:t>
      </w:r>
    </w:p>
    <w:p w:rsidR="00472F39" w:rsidRDefault="00472F39" w:rsidP="00472F39">
      <w:pPr>
        <w:jc w:val="center"/>
        <w:rPr>
          <w:i/>
        </w:rPr>
      </w:pPr>
    </w:p>
    <w:p w:rsidR="00472F39" w:rsidRDefault="00472F39" w:rsidP="00472F39">
      <w:pPr>
        <w:jc w:val="both"/>
      </w:pPr>
      <w:r>
        <w:t xml:space="preserve">    </w:t>
      </w:r>
      <w:r w:rsidR="0033064A">
        <w:t xml:space="preserve">       </w:t>
      </w:r>
      <w:r w:rsidR="0061643F">
        <w:t>V</w:t>
      </w:r>
      <w:r>
        <w:t> prvom rade považujem za potrebné sa vyjadriť k aktuálnosti témy. Zvolená téma patrí zrejme k tým naj</w:t>
      </w:r>
      <w:r w:rsidR="0061643F">
        <w:t xml:space="preserve"> </w:t>
      </w:r>
      <w:r>
        <w:t>aktuálnejším v oblasti obchodného práva, pretože ustanovenia o spoločnosti v kríze boli zavedené do nášho právneho poriadku až od 1. januára 2016 a</w:t>
      </w:r>
      <w:r w:rsidR="0033064A">
        <w:t> táto problematika</w:t>
      </w:r>
      <w:r>
        <w:t> nebola právnou teóriou</w:t>
      </w:r>
      <w:r w:rsidR="0033064A">
        <w:t>,</w:t>
      </w:r>
      <w:r>
        <w:t xml:space="preserve"> a už vonkoncom nie aplikačnou praxou uchopená. Okrem povinného výkladu v komentárovej literatúre vydanej za účinnosti tejto právnej úpravy</w:t>
      </w:r>
      <w:r w:rsidR="004A1701">
        <w:t>,</w:t>
      </w:r>
      <w:r>
        <w:t xml:space="preserve"> evidujem len </w:t>
      </w:r>
      <w:r w:rsidR="000623B8">
        <w:t xml:space="preserve">niekoľko </w:t>
      </w:r>
      <w:r>
        <w:t>časopi</w:t>
      </w:r>
      <w:r w:rsidR="000623B8">
        <w:t>seckých člán</w:t>
      </w:r>
      <w:r>
        <w:t>k</w:t>
      </w:r>
      <w:r w:rsidR="000623B8">
        <w:t>ov</w:t>
      </w:r>
      <w:r>
        <w:t xml:space="preserve"> k tejto </w:t>
      </w:r>
      <w:r w:rsidR="000623B8">
        <w:t>téme</w:t>
      </w:r>
      <w:r w:rsidR="004A1701">
        <w:t xml:space="preserve"> (autor ich všetky uvádza)</w:t>
      </w:r>
      <w:r>
        <w:t>. Z t</w:t>
      </w:r>
      <w:r w:rsidR="004A1701">
        <w:t>ýchto</w:t>
      </w:r>
      <w:r>
        <w:t xml:space="preserve"> </w:t>
      </w:r>
      <w:r w:rsidR="004A1701">
        <w:t xml:space="preserve"> dôvodov </w:t>
      </w:r>
      <w:r>
        <w:t>je potrebné oceniť odvahu autora, pretože si mohol zvoliť</w:t>
      </w:r>
      <w:r w:rsidR="00F332F5">
        <w:t xml:space="preserve"> „pohodlnejšiu“ tému z</w:t>
      </w:r>
      <w:r w:rsidR="004A1701">
        <w:t> </w:t>
      </w:r>
      <w:r w:rsidR="00F332F5">
        <w:t>korpor</w:t>
      </w:r>
      <w:r w:rsidR="0061643F">
        <w:t>át</w:t>
      </w:r>
      <w:r w:rsidR="004A1701">
        <w:t>n</w:t>
      </w:r>
      <w:r w:rsidR="0061643F">
        <w:t>e</w:t>
      </w:r>
      <w:r w:rsidR="004A1701">
        <w:t xml:space="preserve">ho </w:t>
      </w:r>
      <w:r w:rsidR="00F332F5">
        <w:t>práva, ktorá je dobre spracovaná v literatúre a výrazne obsiahnutá v judikatúre alebo si mohol zvoliť tému  z ustáleného záväzkového práva.</w:t>
      </w:r>
    </w:p>
    <w:p w:rsidR="00F332F5" w:rsidRDefault="00F332F5" w:rsidP="00472F39">
      <w:pPr>
        <w:jc w:val="both"/>
      </w:pPr>
      <w:r>
        <w:t xml:space="preserve">   </w:t>
      </w:r>
      <w:r w:rsidR="0033064A">
        <w:t xml:space="preserve">      </w:t>
      </w:r>
      <w:r>
        <w:t>Druhý moment, ktorý treba zvýrazniť je pokus o komplexné spracovanie témy, a to tak</w:t>
      </w:r>
      <w:r w:rsidR="0033064A">
        <w:t xml:space="preserve"> v</w:t>
      </w:r>
      <w:r>
        <w:t xml:space="preserve"> jej </w:t>
      </w:r>
      <w:r w:rsidR="0033064A">
        <w:t>rovine právnej</w:t>
      </w:r>
      <w:r>
        <w:t xml:space="preserve"> ako aj </w:t>
      </w:r>
      <w:r w:rsidR="0033064A">
        <w:t>v rovine ekonomickej</w:t>
      </w:r>
      <w:r>
        <w:t xml:space="preserve">. Ustanovenia </w:t>
      </w:r>
      <w:r>
        <w:lastRenderedPageBreak/>
        <w:t xml:space="preserve">Obchodného zákonníka, ktoré upravujú spoločnosť v kríze majú svoje prepojenie na insolvenčné právo, ktoré senzorovo reaguje na ekonomický stav obchodnej spoločnosti. V konečnom dôsledku aj samotná právna úprava spoločnosti v kríze je prešpikovaná ekonomickými kategóriami a bez pochopenia ekonomických súvislostí nie je možné dotknuté ustanovenia Obchodného zákonníka pochopiť a už vonkoncom ich nie je možné interpretovať. </w:t>
      </w:r>
      <w:r w:rsidR="002B7974">
        <w:t>Toto všetko sú objektívne zložitosti, ktoré kladú adekvátne nároky na spracovanie témy. Ako to však vyčítame z úvodných stránok posudzovanej habilitačnej práce (napr. s. 11 práce), tieto si autor uvedomuje, čo je prvým predpokladom zvládnutia témy.</w:t>
      </w:r>
    </w:p>
    <w:p w:rsidR="002B7974" w:rsidRDefault="002B7974" w:rsidP="00472F39">
      <w:pPr>
        <w:jc w:val="both"/>
      </w:pPr>
      <w:r>
        <w:t xml:space="preserve">    </w:t>
      </w:r>
      <w:r w:rsidR="0033064A">
        <w:t xml:space="preserve">    </w:t>
      </w:r>
      <w:r>
        <w:t>V úvode habilitačnej práce sa snaží autor vysvetliť dôvody</w:t>
      </w:r>
      <w:r w:rsidR="004A1701">
        <w:t>,</w:t>
      </w:r>
      <w:r>
        <w:t xml:space="preserve"> prečo bola táto právna úprava prijatá (implantovaná) do nášho právneho </w:t>
      </w:r>
      <w:r w:rsidR="0033064A">
        <w:t>poriadku</w:t>
      </w:r>
      <w:r w:rsidR="004A1701">
        <w:t>. Odvoláva sa predovšetkým na potrebu</w:t>
      </w:r>
      <w:r w:rsidR="0033064A">
        <w:t xml:space="preserve"> zvýšenia</w:t>
      </w:r>
      <w:r>
        <w:t xml:space="preserve"> ochrany veriteľov</w:t>
      </w:r>
      <w:r w:rsidR="0061643F">
        <w:t xml:space="preserve"> kapitálových spoločností</w:t>
      </w:r>
      <w:r>
        <w:t xml:space="preserve">, pričom popisuje hlavné negatívne javy v slovenskom právnom a ekonomickom  prostredí vo vzťahu k veriteľom kapitálových spoločností. </w:t>
      </w:r>
      <w:r w:rsidR="000623B8">
        <w:t>Po uvedomení si týchto potrebných skutočností, autor so znalosťou problematiky vhodne volí hypotézy habilitačnej práce (s. 12 práce).</w:t>
      </w:r>
    </w:p>
    <w:p w:rsidR="000623B8" w:rsidRDefault="000623B8" w:rsidP="00472F39">
      <w:pPr>
        <w:jc w:val="both"/>
      </w:pPr>
      <w:r>
        <w:t xml:space="preserve">   </w:t>
      </w:r>
      <w:r w:rsidR="00176B72">
        <w:t xml:space="preserve">     </w:t>
      </w:r>
      <w:r w:rsidR="004A1701">
        <w:t xml:space="preserve">    </w:t>
      </w:r>
      <w:r>
        <w:t>Východiskovou kapitolou pr</w:t>
      </w:r>
      <w:r w:rsidR="00176B72">
        <w:t>e ďalšie skúmanie a závery je prvá</w:t>
      </w:r>
      <w:r>
        <w:t xml:space="preserve"> kapitola, ktorá sa venuje ekonomicko </w:t>
      </w:r>
      <w:r w:rsidR="00176B72">
        <w:t xml:space="preserve">- </w:t>
      </w:r>
      <w:r>
        <w:t>právnemu objasneniu krízy resp. právno</w:t>
      </w:r>
      <w:r w:rsidR="00176B72">
        <w:t>-</w:t>
      </w:r>
      <w:r>
        <w:t xml:space="preserve"> ekonomickému stavu obchodnej spoločnosti, ktorá sa nachádza „legislatívne“ v kríze. </w:t>
      </w:r>
      <w:r w:rsidR="001F2F4F">
        <w:t xml:space="preserve">Autor vykonáva podrobnú analýzu novej právnej úpravy vo väzbe na ekonomický vývoj dotknutej obchodnej spoločnosti a zvýrazňuje právnu ochranu veriteľov ex ante, pretože doterajšie ochranné inštitúty poskytovali </w:t>
      </w:r>
      <w:r w:rsidR="00EE1857">
        <w:t xml:space="preserve">len </w:t>
      </w:r>
      <w:r w:rsidR="001F2F4F">
        <w:t>právnu ochranu ex post.  Na základe týchto analýz formuluje ciele novej právnej úpravy (s. 26 práce).</w:t>
      </w:r>
      <w:r w:rsidR="00BC13D6">
        <w:t xml:space="preserve"> Autor si správne uvedomuje riziká právnej úpravy, ktorá stav </w:t>
      </w:r>
      <w:r w:rsidR="00EE1857">
        <w:t xml:space="preserve">hroziacej </w:t>
      </w:r>
      <w:r w:rsidR="00BC13D6">
        <w:t xml:space="preserve">krízy určuje matematickým pomerom vlastného imania a záväzkov, a to v premenlivej ekonomickej dynamike kapitálovej spoločnosti s podnikateľským </w:t>
      </w:r>
      <w:r w:rsidR="00485B6C">
        <w:t xml:space="preserve">zameraním, pretože tento matematický pomer sa môže a aj sa bude meniť. Pri analýze pojmu „hrozba úpadku“ autor správne postrehol </w:t>
      </w:r>
      <w:r w:rsidR="00914942">
        <w:t xml:space="preserve">aj </w:t>
      </w:r>
      <w:r w:rsidR="00485B6C">
        <w:t xml:space="preserve">obsahovú rôznosť týchto pojmov v obchodnom a v insolvenčnom </w:t>
      </w:r>
      <w:r w:rsidR="00914942">
        <w:t xml:space="preserve">práve ako aj rozdielny právny osud „podriadených záväzkov“. Pre ľahšiu </w:t>
      </w:r>
      <w:r w:rsidR="00914942">
        <w:lastRenderedPageBreak/>
        <w:t>orientáciu v základných pojmoch spoločnosti v</w:t>
      </w:r>
      <w:r w:rsidR="0061643F">
        <w:t> </w:t>
      </w:r>
      <w:r w:rsidR="00914942">
        <w:t>kríze</w:t>
      </w:r>
      <w:r w:rsidR="0061643F">
        <w:t>,</w:t>
      </w:r>
      <w:r w:rsidR="00914942">
        <w:t xml:space="preserve"> autor ponúka tabuľkovou formou test platobnej schop</w:t>
      </w:r>
      <w:r w:rsidR="00464E37">
        <w:t>nosti</w:t>
      </w:r>
      <w:r w:rsidR="00176B72">
        <w:t xml:space="preserve"> (neschopnosti)</w:t>
      </w:r>
      <w:r w:rsidR="00464E37">
        <w:t xml:space="preserve"> podľa insolvenčného práva ako aj test predĺženia. </w:t>
      </w:r>
    </w:p>
    <w:p w:rsidR="00464E37" w:rsidRDefault="00464E37" w:rsidP="00472F39">
      <w:pPr>
        <w:jc w:val="both"/>
      </w:pPr>
      <w:r>
        <w:t xml:space="preserve">     </w:t>
      </w:r>
      <w:r w:rsidR="00176B72">
        <w:t xml:space="preserve">        </w:t>
      </w:r>
      <w:r>
        <w:t>Po dôkladnej analýze spoločnosti v kríze nasleduje druhá kapitola, skôr ekonomickej povahy</w:t>
      </w:r>
      <w:r w:rsidR="0061643F">
        <w:t>,</w:t>
      </w:r>
      <w:r>
        <w:t xml:space="preserve"> (pre objasnenie a pochopenie problematiky je to však nevyhnutné), ktorá sa venuje inštitútu vlastného imania a záväzkov. </w:t>
      </w:r>
      <w:r w:rsidR="009A7C4B">
        <w:t xml:space="preserve">Pri analýze vlastného imania </w:t>
      </w:r>
      <w:r w:rsidR="00176B72">
        <w:t xml:space="preserve">autor </w:t>
      </w:r>
      <w:r w:rsidR="009A7C4B">
        <w:t>síce vychádza z definície Obchodné</w:t>
      </w:r>
      <w:r w:rsidR="00176B72">
        <w:t>ho</w:t>
      </w:r>
      <w:r w:rsidR="009A7C4B">
        <w:t xml:space="preserve"> zákonníka, avšak správne zachádza aj do zákona o účtovníctve a vymedzuje  jednotlivé zložky</w:t>
      </w:r>
      <w:r w:rsidR="00B53191">
        <w:t xml:space="preserve"> vlastného iman</w:t>
      </w:r>
      <w:r w:rsidR="00176B72">
        <w:t>ia</w:t>
      </w:r>
      <w:r w:rsidR="009A7C4B">
        <w:t>.</w:t>
      </w:r>
      <w:r w:rsidR="00EE1857">
        <w:t xml:space="preserve"> Bez poznania obsahu týchto, prevažne ekonomických, kategórií ne</w:t>
      </w:r>
      <w:r w:rsidR="0061643F">
        <w:t>m</w:t>
      </w:r>
      <w:r w:rsidR="00EE1857">
        <w:t>ôž</w:t>
      </w:r>
      <w:r w:rsidR="0061643F">
        <w:t>e</w:t>
      </w:r>
      <w:r w:rsidR="00EE1857">
        <w:t>me zadefinovať hroziaci úpadok.</w:t>
      </w:r>
    </w:p>
    <w:p w:rsidR="00EE1857" w:rsidRDefault="00AB250F" w:rsidP="00472F39">
      <w:pPr>
        <w:jc w:val="both"/>
      </w:pPr>
      <w:r>
        <w:t xml:space="preserve">    </w:t>
      </w:r>
      <w:r w:rsidR="00176B72">
        <w:t xml:space="preserve">     </w:t>
      </w:r>
      <w:r>
        <w:t xml:space="preserve"> </w:t>
      </w:r>
      <w:r w:rsidR="00176B72">
        <w:t xml:space="preserve"> </w:t>
      </w:r>
      <w:r>
        <w:t xml:space="preserve"> Ťažiskovými kapitolami</w:t>
      </w:r>
      <w:r w:rsidR="00E35467">
        <w:t xml:space="preserve"> </w:t>
      </w:r>
      <w:r>
        <w:t>sú tretia a štvrtá</w:t>
      </w:r>
      <w:r w:rsidR="00E35467">
        <w:t>, ktor</w:t>
      </w:r>
      <w:r>
        <w:t>é analyzujú</w:t>
      </w:r>
      <w:r w:rsidR="00E35467">
        <w:t xml:space="preserve">  právne dôsledky </w:t>
      </w:r>
      <w:r w:rsidR="0061643F">
        <w:t xml:space="preserve">hroziacej </w:t>
      </w:r>
      <w:r w:rsidR="00EE1857">
        <w:t>kríz</w:t>
      </w:r>
      <w:r w:rsidR="0061643F">
        <w:t>y alebo už existujúcej krízy</w:t>
      </w:r>
      <w:r w:rsidR="009A7C4B">
        <w:t xml:space="preserve"> </w:t>
      </w:r>
      <w:r w:rsidR="00E35467">
        <w:t>pre sa</w:t>
      </w:r>
      <w:r w:rsidR="00176B72">
        <w:t>motnú spoločnosť, jej veriteľov a</w:t>
      </w:r>
      <w:r w:rsidR="00E35467">
        <w:t xml:space="preserve"> pre štatutárne orgány. Autor predovšetkým precízne analyzuje „postihované plnenie“, ktoré výstižne označuje ako „krízové plnenie“  a osoby, ktoré toto plnenie poskytujú. </w:t>
      </w:r>
      <w:r w:rsidR="000F0E87">
        <w:t xml:space="preserve">Bez objasnenia týchto základných inštitútov </w:t>
      </w:r>
      <w:r w:rsidR="00176B72">
        <w:t>právnej úpravy spoločnosti</w:t>
      </w:r>
      <w:r w:rsidR="000F0E87">
        <w:t xml:space="preserve"> v kríze nie je možné dotknuté ustanovenia interpretovať</w:t>
      </w:r>
      <w:r>
        <w:t>,</w:t>
      </w:r>
      <w:r w:rsidR="000F0E87">
        <w:t xml:space="preserve">  aplikovať a ani pochopiť účel novej právnej úpravy.</w:t>
      </w:r>
      <w:r>
        <w:t xml:space="preserve"> </w:t>
      </w:r>
    </w:p>
    <w:p w:rsidR="009A7C4B" w:rsidRDefault="00EE1857" w:rsidP="00472F39">
      <w:pPr>
        <w:jc w:val="both"/>
      </w:pPr>
      <w:r>
        <w:t xml:space="preserve">         </w:t>
      </w:r>
      <w:r w:rsidR="00AB250F">
        <w:t xml:space="preserve">Jednotlivé testy krízového plnenia sú podané inštruktívne, </w:t>
      </w:r>
      <w:r w:rsidR="005027FD">
        <w:t xml:space="preserve">prehľadne, pričom výklad si zachováva potrenú odbornú úroveň. </w:t>
      </w:r>
      <w:r w:rsidR="00B53191">
        <w:t xml:space="preserve">Tu autor otvára rad otázok, ktoré môžu vzniknúť pri aplikácii dotknutých ustanovení Obchodného zákonníka, ako napr. označovanie obchodnej spoločnosti v kríze, rozšírenie pojmu „blízke osoby“ aj na osoby právnické, plnenie zodpovedajúce úveru, </w:t>
      </w:r>
      <w:r w:rsidR="00864A7B">
        <w:t>aplikácia ustanovení o spoločnosti v kríze na supranacionálne formy a</w:t>
      </w:r>
      <w:r>
        <w:t> </w:t>
      </w:r>
      <w:r w:rsidR="00864A7B">
        <w:t>družstvo</w:t>
      </w:r>
      <w:r>
        <w:t>,</w:t>
      </w:r>
      <w:r w:rsidR="00864A7B">
        <w:t xml:space="preserve"> na  zahraničných veriteľov, na spoločnosti s cudzím prvkom a ďalšie.</w:t>
      </w:r>
    </w:p>
    <w:p w:rsidR="009E4976" w:rsidRDefault="00C37FE9" w:rsidP="00472F39">
      <w:pPr>
        <w:jc w:val="both"/>
      </w:pPr>
      <w:r>
        <w:t xml:space="preserve">      </w:t>
      </w:r>
      <w:r w:rsidR="00EE1857">
        <w:t xml:space="preserve"> </w:t>
      </w:r>
      <w:r>
        <w:t xml:space="preserve"> </w:t>
      </w:r>
      <w:r w:rsidR="009E4976">
        <w:t xml:space="preserve">   </w:t>
      </w:r>
      <w:r>
        <w:t xml:space="preserve"> V závere </w:t>
      </w:r>
      <w:r w:rsidR="009E4976">
        <w:t xml:space="preserve">habilitačnej </w:t>
      </w:r>
      <w:r>
        <w:t xml:space="preserve">práce autor konfrontuje výsledky svojho skúmania na vytýčených hypotézach formulovaných v úvodných ustanoveniach. Po prečítaní úvodnej kapitoly som konštatoval, že autor urobil odvážny pokus. Po prečítaní celej habilitačnej práce môžem trestnoprávnou terminológiou povedať, že neostalo len pri pokuse, pretože skutok </w:t>
      </w:r>
      <w:r w:rsidR="009E4976">
        <w:t>bol</w:t>
      </w:r>
      <w:r>
        <w:t xml:space="preserve"> dokonaný. </w:t>
      </w:r>
    </w:p>
    <w:p w:rsidR="00864A7B" w:rsidRPr="00905E50" w:rsidRDefault="009E4976" w:rsidP="00472F39">
      <w:pPr>
        <w:jc w:val="both"/>
        <w:rPr>
          <w:i/>
        </w:rPr>
      </w:pPr>
      <w:r>
        <w:lastRenderedPageBreak/>
        <w:t xml:space="preserve">            </w:t>
      </w:r>
      <w:r w:rsidR="00C37FE9">
        <w:t>Autor s využitím dostupných vedeckých metód skúmania</w:t>
      </w:r>
      <w:r>
        <w:t>,</w:t>
      </w:r>
      <w:r w:rsidR="00C37FE9">
        <w:t xml:space="preserve"> na veľmi dobrej úrovni spracoval zvolenú problematiku. Osobitne oceňujem, že zrozumiteľným štýlom, vyhnúc sa preumelkovanému jazyku, osvetlil zložitú a v slovenskom právnom prostredí úplne novú problematiku. </w:t>
      </w:r>
      <w:r>
        <w:t xml:space="preserve">Spracovaná téma bude mať široké využitie nielen v podnikateľskej praxi samotných kapitálových spoločností, ale aj v aplikačnej praxi súdov. </w:t>
      </w:r>
      <w:r w:rsidR="00C37FE9">
        <w:t>Aj táto jeho práca dokumentuje to, že autor je vyzretou vedeckou osobnosťou a je veľmi dobrým príkladom spojenia právnej teórie a aplikačnej praxe, čo</w:t>
      </w:r>
      <w:r>
        <w:t xml:space="preserve"> je</w:t>
      </w:r>
      <w:r w:rsidR="00C37FE9">
        <w:t xml:space="preserve"> pri pozitívno právnych disciplína</w:t>
      </w:r>
      <w:r w:rsidR="00C434BD">
        <w:t>c</w:t>
      </w:r>
      <w:r>
        <w:t xml:space="preserve">h </w:t>
      </w:r>
      <w:r w:rsidR="00C37FE9">
        <w:t xml:space="preserve"> </w:t>
      </w:r>
      <w:r w:rsidR="00C37FE9" w:rsidRPr="00905E50">
        <w:rPr>
          <w:i/>
        </w:rPr>
        <w:t>condicio sine qua non</w:t>
      </w:r>
      <w:r w:rsidR="00C434BD" w:rsidRPr="00905E50">
        <w:rPr>
          <w:i/>
        </w:rPr>
        <w:t>.</w:t>
      </w:r>
    </w:p>
    <w:p w:rsidR="00905E50" w:rsidRDefault="00C434BD" w:rsidP="00472F39">
      <w:pPr>
        <w:jc w:val="both"/>
      </w:pPr>
      <w:r>
        <w:t xml:space="preserve">    </w:t>
      </w:r>
      <w:r w:rsidR="009E4976">
        <w:t xml:space="preserve">      </w:t>
      </w:r>
      <w:r w:rsidR="00905E50">
        <w:t>Absolútna novosť problematiky robí</w:t>
      </w:r>
      <w:r>
        <w:t xml:space="preserve"> povinnú reakciu na „plagiatorsky test“,</w:t>
      </w:r>
      <w:r w:rsidR="00905E50">
        <w:t xml:space="preserve"> zbytočnú,</w:t>
      </w:r>
      <w:r>
        <w:t xml:space="preserve"> a preto zhoda je takmer vylúčená. </w:t>
      </w:r>
    </w:p>
    <w:p w:rsidR="00C434BD" w:rsidRDefault="00905E50" w:rsidP="00472F39">
      <w:pPr>
        <w:jc w:val="both"/>
      </w:pPr>
      <w:r>
        <w:t xml:space="preserve">        </w:t>
      </w:r>
      <w:r w:rsidR="00C434BD">
        <w:t>Tak</w:t>
      </w:r>
      <w:r>
        <w:t xml:space="preserve"> </w:t>
      </w:r>
      <w:r w:rsidR="00C434BD">
        <w:t xml:space="preserve">ako poznám </w:t>
      </w:r>
      <w:r>
        <w:t>aj ostatné</w:t>
      </w:r>
      <w:r w:rsidR="00C434BD">
        <w:t xml:space="preserve"> publikačné výstupy autora, tieto nikdy neboli motivované plnením kvantitatívnych ukazovateľov pre vedecko kariérny </w:t>
      </w:r>
      <w:r>
        <w:t>postup, neboli samoúčelné, a preto boli vždy aplikačnou praxou vítané.</w:t>
      </w:r>
      <w:r w:rsidR="00C434BD">
        <w:t xml:space="preserve"> </w:t>
      </w:r>
    </w:p>
    <w:p w:rsidR="00905E50" w:rsidRDefault="00905E50" w:rsidP="00472F39">
      <w:pPr>
        <w:jc w:val="both"/>
      </w:pPr>
      <w:r>
        <w:t xml:space="preserve">      Na základe uvedeného odporúčam prijať posudzovanú habilitačnú prácu na obhajobu a po úspešnej obhajobe navrhujem</w:t>
      </w:r>
    </w:p>
    <w:p w:rsidR="001A040E" w:rsidRDefault="001A040E" w:rsidP="00472F39">
      <w:pPr>
        <w:jc w:val="both"/>
      </w:pPr>
    </w:p>
    <w:p w:rsidR="001A040E" w:rsidRDefault="001A040E" w:rsidP="00472F39">
      <w:pPr>
        <w:jc w:val="both"/>
      </w:pPr>
    </w:p>
    <w:p w:rsidR="001A040E" w:rsidRDefault="001A040E" w:rsidP="00472F39">
      <w:pPr>
        <w:jc w:val="both"/>
      </w:pPr>
    </w:p>
    <w:p w:rsidR="00905E50" w:rsidRDefault="00905E50" w:rsidP="00905E50">
      <w:pPr>
        <w:jc w:val="center"/>
        <w:rPr>
          <w:b/>
        </w:rPr>
      </w:pPr>
      <w:r>
        <w:rPr>
          <w:b/>
        </w:rPr>
        <w:t>udeliť</w:t>
      </w:r>
    </w:p>
    <w:p w:rsidR="00905E50" w:rsidRDefault="00905E50" w:rsidP="00905E50">
      <w:pPr>
        <w:jc w:val="center"/>
        <w:rPr>
          <w:b/>
        </w:rPr>
      </w:pPr>
    </w:p>
    <w:p w:rsidR="00905E50" w:rsidRDefault="00905E50" w:rsidP="00905E50">
      <w:pPr>
        <w:jc w:val="center"/>
        <w:rPr>
          <w:b/>
        </w:rPr>
      </w:pPr>
      <w:r>
        <w:rPr>
          <w:b/>
        </w:rPr>
        <w:t>JUDr. Martinovi Kubincovi, PhD,</w:t>
      </w:r>
    </w:p>
    <w:p w:rsidR="001A040E" w:rsidRDefault="001A040E" w:rsidP="00905E50">
      <w:pPr>
        <w:jc w:val="center"/>
        <w:rPr>
          <w:b/>
        </w:rPr>
      </w:pPr>
    </w:p>
    <w:p w:rsidR="001A040E" w:rsidRPr="00905E50" w:rsidRDefault="001A040E" w:rsidP="00905E50">
      <w:pPr>
        <w:jc w:val="center"/>
        <w:rPr>
          <w:b/>
        </w:rPr>
      </w:pPr>
    </w:p>
    <w:p w:rsidR="00905E50" w:rsidRDefault="00905E50" w:rsidP="00905E50">
      <w:pPr>
        <w:jc w:val="center"/>
        <w:rPr>
          <w:b/>
          <w:i/>
        </w:rPr>
      </w:pPr>
      <w:r w:rsidRPr="00905E50">
        <w:rPr>
          <w:b/>
          <w:i/>
        </w:rPr>
        <w:t>vedecko pedagogick</w:t>
      </w:r>
      <w:r>
        <w:rPr>
          <w:b/>
          <w:i/>
        </w:rPr>
        <w:t>ú</w:t>
      </w:r>
      <w:r w:rsidRPr="00905E50">
        <w:rPr>
          <w:b/>
          <w:i/>
        </w:rPr>
        <w:t xml:space="preserve"> </w:t>
      </w:r>
      <w:r>
        <w:rPr>
          <w:b/>
          <w:i/>
        </w:rPr>
        <w:t>h</w:t>
      </w:r>
      <w:r w:rsidRPr="00905E50">
        <w:rPr>
          <w:b/>
          <w:i/>
        </w:rPr>
        <w:t xml:space="preserve">odnosť </w:t>
      </w:r>
      <w:r>
        <w:rPr>
          <w:b/>
          <w:i/>
        </w:rPr>
        <w:t>„</w:t>
      </w:r>
      <w:r w:rsidRPr="00905E50">
        <w:rPr>
          <w:b/>
          <w:i/>
        </w:rPr>
        <w:t>docent</w:t>
      </w:r>
      <w:r>
        <w:rPr>
          <w:b/>
          <w:i/>
        </w:rPr>
        <w:t>“</w:t>
      </w:r>
    </w:p>
    <w:p w:rsidR="00905E50" w:rsidRDefault="00905E50" w:rsidP="00905E50">
      <w:pPr>
        <w:jc w:val="both"/>
      </w:pPr>
    </w:p>
    <w:p w:rsidR="00905E50" w:rsidRDefault="009E4976" w:rsidP="00905E50">
      <w:pPr>
        <w:jc w:val="both"/>
      </w:pPr>
      <w:r>
        <w:lastRenderedPageBreak/>
        <w:t xml:space="preserve">      </w:t>
      </w:r>
      <w:r w:rsidR="00905E50">
        <w:t>Otázka na obhajobu: Predpokladá autor, že na základe tejto právnej úpravy dôjde k zmene správania štatutárnych orgánov a ich spoločníkov</w:t>
      </w:r>
      <w:r w:rsidR="001A040E">
        <w:t xml:space="preserve"> v kapitálových spoločnostiach?</w:t>
      </w:r>
    </w:p>
    <w:p w:rsidR="001A040E" w:rsidRDefault="001A040E" w:rsidP="00905E50">
      <w:pPr>
        <w:jc w:val="both"/>
      </w:pPr>
    </w:p>
    <w:p w:rsidR="001A040E" w:rsidRDefault="001A040E" w:rsidP="00905E50">
      <w:pPr>
        <w:jc w:val="both"/>
      </w:pPr>
    </w:p>
    <w:p w:rsidR="001A040E" w:rsidRDefault="001A040E" w:rsidP="00905E50">
      <w:pPr>
        <w:jc w:val="both"/>
      </w:pPr>
    </w:p>
    <w:p w:rsidR="001A040E" w:rsidRDefault="001A040E" w:rsidP="00905E50">
      <w:pPr>
        <w:jc w:val="both"/>
      </w:pPr>
    </w:p>
    <w:p w:rsidR="001A040E" w:rsidRDefault="001A040E" w:rsidP="00905E50">
      <w:pPr>
        <w:jc w:val="both"/>
      </w:pPr>
    </w:p>
    <w:p w:rsidR="001A040E" w:rsidRDefault="001A040E" w:rsidP="00905E50">
      <w:pPr>
        <w:jc w:val="both"/>
      </w:pPr>
    </w:p>
    <w:p w:rsidR="001A040E" w:rsidRDefault="001A040E" w:rsidP="00905E50">
      <w:pPr>
        <w:jc w:val="both"/>
      </w:pPr>
    </w:p>
    <w:p w:rsidR="001A040E" w:rsidRPr="00905E50" w:rsidRDefault="001A040E" w:rsidP="00905E50">
      <w:pPr>
        <w:jc w:val="both"/>
      </w:pPr>
      <w:r>
        <w:t>V Banskej Bystrici 25. júla 2018                                                                                  Milan Durica</w:t>
      </w:r>
    </w:p>
    <w:p w:rsidR="00905E50" w:rsidRDefault="00905E50" w:rsidP="00905E50">
      <w:pPr>
        <w:jc w:val="center"/>
        <w:rPr>
          <w:b/>
          <w:i/>
        </w:rPr>
      </w:pPr>
    </w:p>
    <w:p w:rsidR="00905E50" w:rsidRDefault="00905E50" w:rsidP="00905E50">
      <w:pPr>
        <w:jc w:val="center"/>
        <w:rPr>
          <w:b/>
          <w:i/>
        </w:rPr>
      </w:pPr>
    </w:p>
    <w:p w:rsidR="00905E50" w:rsidRPr="00905E50" w:rsidRDefault="00905E50" w:rsidP="00905E50">
      <w:pPr>
        <w:jc w:val="center"/>
        <w:rPr>
          <w:i/>
        </w:rPr>
      </w:pPr>
    </w:p>
    <w:p w:rsidR="00E35467" w:rsidRDefault="00E35467" w:rsidP="00472F39">
      <w:pPr>
        <w:jc w:val="both"/>
      </w:pPr>
    </w:p>
    <w:p w:rsidR="009A7C4B" w:rsidRDefault="009A7C4B" w:rsidP="00472F39">
      <w:pPr>
        <w:jc w:val="both"/>
      </w:pPr>
      <w:r>
        <w:t xml:space="preserve">   </w:t>
      </w:r>
    </w:p>
    <w:p w:rsidR="009A7C4B" w:rsidRDefault="009A7C4B" w:rsidP="00472F39">
      <w:pPr>
        <w:jc w:val="both"/>
      </w:pPr>
    </w:p>
    <w:p w:rsidR="00485B6C" w:rsidRDefault="00485B6C" w:rsidP="00472F39">
      <w:pPr>
        <w:jc w:val="both"/>
      </w:pPr>
      <w:r>
        <w:t xml:space="preserve">   </w:t>
      </w:r>
    </w:p>
    <w:p w:rsidR="00485B6C" w:rsidRDefault="00485B6C" w:rsidP="00472F39">
      <w:pPr>
        <w:jc w:val="both"/>
      </w:pPr>
    </w:p>
    <w:p w:rsidR="002B7974" w:rsidRDefault="002B7974" w:rsidP="00472F39">
      <w:pPr>
        <w:jc w:val="both"/>
      </w:pPr>
      <w:r>
        <w:t xml:space="preserve">     </w:t>
      </w:r>
    </w:p>
    <w:p w:rsidR="00F332F5" w:rsidRDefault="00F332F5" w:rsidP="00472F39">
      <w:pPr>
        <w:jc w:val="both"/>
      </w:pPr>
      <w:r>
        <w:t xml:space="preserve">   </w:t>
      </w:r>
    </w:p>
    <w:p w:rsidR="00F332F5" w:rsidRPr="00472F39" w:rsidRDefault="00F332F5" w:rsidP="00472F39">
      <w:pPr>
        <w:jc w:val="both"/>
      </w:pPr>
    </w:p>
    <w:sectPr w:rsidR="00F332F5" w:rsidRPr="00472F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59" w:rsidRDefault="00B65659" w:rsidP="000623B8">
      <w:pPr>
        <w:spacing w:after="0" w:line="240" w:lineRule="auto"/>
      </w:pPr>
      <w:r>
        <w:separator/>
      </w:r>
    </w:p>
  </w:endnote>
  <w:endnote w:type="continuationSeparator" w:id="0">
    <w:p w:rsidR="00B65659" w:rsidRDefault="00B65659" w:rsidP="0006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522915"/>
      <w:docPartObj>
        <w:docPartGallery w:val="Page Numbers (Bottom of Page)"/>
        <w:docPartUnique/>
      </w:docPartObj>
    </w:sdtPr>
    <w:sdtEndPr/>
    <w:sdtContent>
      <w:p w:rsidR="000623B8" w:rsidRDefault="000623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2CA">
          <w:rPr>
            <w:noProof/>
          </w:rPr>
          <w:t>1</w:t>
        </w:r>
        <w:r>
          <w:fldChar w:fldCharType="end"/>
        </w:r>
      </w:p>
    </w:sdtContent>
  </w:sdt>
  <w:p w:rsidR="000623B8" w:rsidRDefault="000623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59" w:rsidRDefault="00B65659" w:rsidP="000623B8">
      <w:pPr>
        <w:spacing w:after="0" w:line="240" w:lineRule="auto"/>
      </w:pPr>
      <w:r>
        <w:separator/>
      </w:r>
    </w:p>
  </w:footnote>
  <w:footnote w:type="continuationSeparator" w:id="0">
    <w:p w:rsidR="00B65659" w:rsidRDefault="00B65659" w:rsidP="00062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B4"/>
    <w:rsid w:val="000623B8"/>
    <w:rsid w:val="0006554A"/>
    <w:rsid w:val="000F0E87"/>
    <w:rsid w:val="0013523D"/>
    <w:rsid w:val="00176B72"/>
    <w:rsid w:val="001A040E"/>
    <w:rsid w:val="001F2F4F"/>
    <w:rsid w:val="002B7974"/>
    <w:rsid w:val="0033064A"/>
    <w:rsid w:val="003A7CC3"/>
    <w:rsid w:val="00464E37"/>
    <w:rsid w:val="00472F39"/>
    <w:rsid w:val="00485B6C"/>
    <w:rsid w:val="004A1701"/>
    <w:rsid w:val="004C5212"/>
    <w:rsid w:val="004F5C39"/>
    <w:rsid w:val="005027FD"/>
    <w:rsid w:val="00537924"/>
    <w:rsid w:val="0061643F"/>
    <w:rsid w:val="006C76B4"/>
    <w:rsid w:val="006D5F07"/>
    <w:rsid w:val="007D5CD4"/>
    <w:rsid w:val="00864A7B"/>
    <w:rsid w:val="00905E50"/>
    <w:rsid w:val="00914942"/>
    <w:rsid w:val="00930FF3"/>
    <w:rsid w:val="009A7C4B"/>
    <w:rsid w:val="009E4976"/>
    <w:rsid w:val="00A8233E"/>
    <w:rsid w:val="00A95694"/>
    <w:rsid w:val="00AB250F"/>
    <w:rsid w:val="00AF04A8"/>
    <w:rsid w:val="00B53191"/>
    <w:rsid w:val="00B65659"/>
    <w:rsid w:val="00BC13D6"/>
    <w:rsid w:val="00C37FE9"/>
    <w:rsid w:val="00C434BD"/>
    <w:rsid w:val="00C50FDA"/>
    <w:rsid w:val="00C71C75"/>
    <w:rsid w:val="00C819C8"/>
    <w:rsid w:val="00CD3A8C"/>
    <w:rsid w:val="00D932CA"/>
    <w:rsid w:val="00D942D8"/>
    <w:rsid w:val="00E35467"/>
    <w:rsid w:val="00EE1857"/>
    <w:rsid w:val="00EE709F"/>
    <w:rsid w:val="00F332F5"/>
    <w:rsid w:val="00F7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3782E-CDD0-45EC-975A-70B00B3A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3B8"/>
  </w:style>
  <w:style w:type="paragraph" w:styleId="Pta">
    <w:name w:val="footer"/>
    <w:basedOn w:val="Normlny"/>
    <w:link w:val="PtaChar"/>
    <w:uiPriority w:val="99"/>
    <w:unhideWhenUsed/>
    <w:rsid w:val="0006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C3DE-F8FC-4147-BF0B-074DF50F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Durica</dc:creator>
  <cp:lastModifiedBy>Lihanova Michaela, Mgr.</cp:lastModifiedBy>
  <cp:revision>2</cp:revision>
  <dcterms:created xsi:type="dcterms:W3CDTF">2018-08-20T08:57:00Z</dcterms:created>
  <dcterms:modified xsi:type="dcterms:W3CDTF">2018-08-20T08:57:00Z</dcterms:modified>
</cp:coreProperties>
</file>